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F306" w14:textId="77777777" w:rsidR="00A53445" w:rsidRDefault="00A53445" w:rsidP="00A53445">
      <w:pPr>
        <w:pStyle w:val="Balk2"/>
        <w:jc w:val="center"/>
        <w:rPr>
          <w:rFonts w:eastAsia="Times New Roman"/>
        </w:rPr>
      </w:pPr>
      <w:r>
        <w:rPr>
          <w:rFonts w:eastAsia="Times New Roman"/>
        </w:rPr>
        <w:t xml:space="preserve">PROF. DR. ALİ ABDÜLKADİR BACAKOĞLU </w:t>
      </w:r>
    </w:p>
    <w:p w14:paraId="29B2AAB7" w14:textId="53C6CD33" w:rsidR="00A53445" w:rsidRDefault="00A53445" w:rsidP="00A53445">
      <w:pPr>
        <w:pStyle w:val="Balk2"/>
        <w:jc w:val="center"/>
        <w:rPr>
          <w:rFonts w:eastAsia="Times New Roman"/>
        </w:rPr>
      </w:pPr>
      <w:r>
        <w:rPr>
          <w:rFonts w:eastAsia="Times New Roman"/>
        </w:rPr>
        <w:t>ÖZEL NİTELİKLİ KİŞİSEL VERİLERİN KORUNMASI VE İŞLENMESİ POLİTİKASI</w:t>
      </w:r>
    </w:p>
    <w:p w14:paraId="464BF6A3" w14:textId="77777777" w:rsidR="00A53445" w:rsidRDefault="00A53445" w:rsidP="00A53445">
      <w:pPr>
        <w:pStyle w:val="Balk3"/>
        <w:rPr>
          <w:rFonts w:eastAsia="Times New Roman"/>
        </w:rPr>
      </w:pPr>
      <w:r>
        <w:rPr>
          <w:rFonts w:eastAsia="Times New Roman"/>
        </w:rPr>
        <w:t xml:space="preserve">1. KAPSAM </w:t>
      </w:r>
    </w:p>
    <w:p w14:paraId="6B41A1FB" w14:textId="77777777" w:rsidR="00A53445" w:rsidRDefault="00A53445" w:rsidP="00A53445">
      <w:pPr>
        <w:pStyle w:val="NormalWeb"/>
        <w:jc w:val="both"/>
      </w:pPr>
      <w:r>
        <w:t xml:space="preserve">6698 Sayılı Kişisel Verilerin Korunması Kanunu’nun (“KANUN”) 6. maddesinde, hukuka aykırı olarak işlendiğinde kişilerin mağduriyetine veya ayrımcılığa sebep olma riski taşıyan bir takım kişisel veriler “ÖZEL NİTELİKLİ KİŞİSEL VERİ” olarak belirlenmiştir. </w:t>
      </w:r>
    </w:p>
    <w:p w14:paraId="4FF0010F" w14:textId="77777777" w:rsidR="00A53445" w:rsidRDefault="00A53445" w:rsidP="00A53445">
      <w:pPr>
        <w:pStyle w:val="NormalWeb"/>
        <w:jc w:val="both"/>
      </w:pPr>
      <w:r>
        <w:t xml:space="preserve">Özel nitelikli kişisel verilerin kapsamına kişilerin ırkı, etnik kökeni, siyasi düşüncesi,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girmektedir.</w:t>
      </w:r>
    </w:p>
    <w:p w14:paraId="4565856C" w14:textId="77777777" w:rsidR="00A53445" w:rsidRDefault="00A53445" w:rsidP="00A53445">
      <w:pPr>
        <w:pStyle w:val="Balk3"/>
        <w:rPr>
          <w:rFonts w:eastAsia="Times New Roman"/>
        </w:rPr>
      </w:pPr>
      <w:r>
        <w:rPr>
          <w:rFonts w:eastAsia="Times New Roman"/>
        </w:rPr>
        <w:t>2. ÖZEL NİTELİKLİ KİŞİSEL VERİLERİN İŞLENMESİ</w:t>
      </w:r>
    </w:p>
    <w:p w14:paraId="62BC6C6E" w14:textId="77777777" w:rsidR="00A53445" w:rsidRDefault="00A53445" w:rsidP="00A53445">
      <w:pPr>
        <w:pStyle w:val="NormalWeb"/>
      </w:pPr>
      <w:r>
        <w:t xml:space="preserve">Veri Sahibi/İlgili Kişi açısından korunmasının çeşitli açılardan daha kritik önem teşkil ettiğine inanılan Özel Nitelikli Kişisel </w:t>
      </w:r>
      <w:proofErr w:type="spellStart"/>
      <w:r>
        <w:t>Veriler’in</w:t>
      </w:r>
      <w:proofErr w:type="spellEnd"/>
      <w:r>
        <w:t xml:space="preserve"> işlenmesinde, PROF. DR. ALİ ABDÜLKADİR BACAKOĞLU (Veri Sorumlusu) tarafından özel hassasiyet gösterilmektedir.</w:t>
      </w:r>
    </w:p>
    <w:p w14:paraId="71989CE3" w14:textId="77777777" w:rsidR="00A53445" w:rsidRDefault="00A53445" w:rsidP="00A53445">
      <w:pPr>
        <w:pStyle w:val="NormalWeb"/>
        <w:jc w:val="both"/>
      </w:pPr>
      <w:r>
        <w:t>Özel Nitelikli Kişisel Veriler, Veri Sorumlusu tarafından, Kanun’a uygun bir şekilde, Kurul’ca belirlenecek yeterli önlemlerin alınması kaydıyla, aşağıdaki şartların varlığı halinde işlenmektedir:</w:t>
      </w:r>
    </w:p>
    <w:p w14:paraId="06C7A402" w14:textId="77777777" w:rsidR="00A53445" w:rsidRDefault="00A53445" w:rsidP="00A53445">
      <w:pPr>
        <w:numPr>
          <w:ilvl w:val="0"/>
          <w:numId w:val="1"/>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açık rızası var ise veya</w:t>
      </w:r>
    </w:p>
    <w:p w14:paraId="33EB97CD" w14:textId="77777777" w:rsidR="00A53445" w:rsidRDefault="00A53445" w:rsidP="00A53445">
      <w:pPr>
        <w:numPr>
          <w:ilvl w:val="0"/>
          <w:numId w:val="1"/>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açık rızası yok ise; Veri Sahibi/İlgili </w:t>
      </w:r>
      <w:proofErr w:type="spellStart"/>
      <w:r>
        <w:rPr>
          <w:rFonts w:eastAsia="Times New Roman"/>
        </w:rPr>
        <w:t>Kişi’nin</w:t>
      </w:r>
      <w:proofErr w:type="spellEnd"/>
      <w:r>
        <w:rPr>
          <w:rFonts w:eastAsia="Times New Roman"/>
        </w:rPr>
        <w:t xml:space="preserve"> sağlığı ve cinsel hayatı dışındaki özel nitelikli kişisel veriler, kanunlarda öngörülen hallerde, Veri Sahibi/İlgili </w:t>
      </w:r>
      <w:proofErr w:type="spellStart"/>
      <w:r>
        <w:rPr>
          <w:rFonts w:eastAsia="Times New Roman"/>
        </w:rPr>
        <w:t>Kişi’nin</w:t>
      </w:r>
      <w:proofErr w:type="spellEnd"/>
      <w:r>
        <w:rPr>
          <w:rFonts w:eastAsia="Times New Roman"/>
        </w:rPr>
        <w:t xml:space="preserve">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702B5A5A" w14:textId="77777777" w:rsidR="00A53445" w:rsidRDefault="00A53445" w:rsidP="00A53445">
      <w:pPr>
        <w:pStyle w:val="Balk3"/>
        <w:rPr>
          <w:rFonts w:eastAsia="Times New Roman"/>
        </w:rPr>
      </w:pPr>
      <w:r>
        <w:rPr>
          <w:rFonts w:eastAsia="Times New Roman"/>
        </w:rPr>
        <w:t xml:space="preserve">3. ÖZEL NİTELİKLİ KİŞİSEL VERİLERİN İŞLENMESİNE İLİŞKİN ÖNLEMLER </w:t>
      </w:r>
    </w:p>
    <w:p w14:paraId="4A362874" w14:textId="77777777" w:rsidR="00A53445" w:rsidRDefault="00A53445" w:rsidP="00A53445">
      <w:pPr>
        <w:pStyle w:val="NormalWeb"/>
        <w:jc w:val="both"/>
      </w:pPr>
      <w:r>
        <w:t xml:space="preserve">Veri Sorumlusu, Kanun’un 6. Maddesinde yer alan, Özel Nitelikli Kişisel </w:t>
      </w:r>
      <w:proofErr w:type="spellStart"/>
      <w:r>
        <w:t>Veriler’in</w:t>
      </w:r>
      <w:proofErr w:type="spellEnd"/>
      <w:r>
        <w:t xml:space="preserve"> işlenmesinde, Kurul’un 31.01.2018 Tarihli ve 2018/10 Numaralı kararı uyarınca, veri sorumlusu sıfatıyla, aşağıda belirtilen önlemleri almaktadır:</w:t>
      </w:r>
    </w:p>
    <w:p w14:paraId="1ABACA6D" w14:textId="77777777" w:rsidR="00A53445" w:rsidRDefault="00A53445" w:rsidP="00A53445">
      <w:pPr>
        <w:numPr>
          <w:ilvl w:val="0"/>
          <w:numId w:val="2"/>
        </w:numPr>
        <w:spacing w:before="100" w:beforeAutospacing="1" w:after="100" w:afterAutospacing="1"/>
        <w:rPr>
          <w:rFonts w:eastAsia="Times New Roman"/>
        </w:rPr>
      </w:pPr>
      <w:r>
        <w:rPr>
          <w:rFonts w:eastAsia="Times New Roman"/>
        </w:rPr>
        <w:t xml:space="preserve">Özel nitelikli kişisel verilerin güvenliğine yönelik sistemli, kuralları net bir şekilde belli, yönetilebilir ve sürdürülebilir işbu Politika belirlenmiştir. </w:t>
      </w:r>
    </w:p>
    <w:p w14:paraId="0AF47ABD" w14:textId="77777777" w:rsidR="00A53445" w:rsidRDefault="00A53445" w:rsidP="00A53445">
      <w:pPr>
        <w:numPr>
          <w:ilvl w:val="0"/>
          <w:numId w:val="2"/>
        </w:numPr>
        <w:spacing w:before="100" w:beforeAutospacing="1" w:after="100" w:afterAutospacing="1"/>
        <w:rPr>
          <w:rFonts w:eastAsia="Times New Roman"/>
        </w:rPr>
      </w:pPr>
      <w:r>
        <w:rPr>
          <w:rFonts w:eastAsia="Times New Roman"/>
        </w:rPr>
        <w:t xml:space="preserve">Özel nitelikli kişisel verilerin işlenmesi süreçlerinde yer alan Ürün veya Hizmet Alan Kişi, Çalışan, </w:t>
      </w:r>
      <w:proofErr w:type="gramStart"/>
      <w:r>
        <w:rPr>
          <w:rFonts w:eastAsia="Times New Roman"/>
        </w:rPr>
        <w:t>Diğer -</w:t>
      </w:r>
      <w:proofErr w:type="gramEnd"/>
      <w:r>
        <w:rPr>
          <w:rFonts w:eastAsia="Times New Roman"/>
        </w:rPr>
        <w:t xml:space="preserve"> Hasta, Diğer - Doktor, Potansiyel Ürün veya Hizmet Alıcısı kişi grubuna/gruplarına yönelik, </w:t>
      </w:r>
    </w:p>
    <w:p w14:paraId="60154E8B"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Çalışanlar için veri güvenliği hükümleri içeren disiplin düzenlemeleri mevcuttur</w:t>
      </w:r>
    </w:p>
    <w:p w14:paraId="2C7318F1"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Gizlilik taahhütnameleri yapılmaktadır</w:t>
      </w:r>
    </w:p>
    <w:p w14:paraId="5690A559" w14:textId="77777777" w:rsidR="00A53445" w:rsidRDefault="00A53445" w:rsidP="00A53445">
      <w:pPr>
        <w:numPr>
          <w:ilvl w:val="1"/>
          <w:numId w:val="2"/>
        </w:numPr>
        <w:spacing w:before="100" w:beforeAutospacing="1" w:after="100" w:afterAutospacing="1"/>
        <w:rPr>
          <w:rFonts w:eastAsia="Times New Roman"/>
        </w:rPr>
      </w:pPr>
      <w:r>
        <w:rPr>
          <w:rFonts w:eastAsia="Times New Roman"/>
        </w:rPr>
        <w:lastRenderedPageBreak/>
        <w:t>Kişisel veri güvenliği politika ve prosedürleri belirlenmiştir</w:t>
      </w:r>
    </w:p>
    <w:p w14:paraId="06243255"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 içeren fiziksel ortamlara giriş çıkışlarla ilgili gerekli güvenlik önlemleri alınmaktadır</w:t>
      </w:r>
    </w:p>
    <w:p w14:paraId="35ABA90B"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 içeren fiziksel ortamların dış risklere (yangın, sel vb.) karşı güvenliği sağlanmaktadır</w:t>
      </w:r>
    </w:p>
    <w:p w14:paraId="1580CD63"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 içeren ortamların güvenliği sağlanmaktadır</w:t>
      </w:r>
    </w:p>
    <w:p w14:paraId="0953FFE6"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veriler mümkün olduğunca azaltılmaktadır</w:t>
      </w:r>
    </w:p>
    <w:p w14:paraId="768CBF1E"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Özel nitelikli kişisel veri güvenliğine yönelik protokol ve prosedürler belirlenmiş ve uygulanmaktadır</w:t>
      </w:r>
    </w:p>
    <w:p w14:paraId="108CD451"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Çalışanlar için veri güvenliği konusunda belli aralıklarla eğitim ve farkındalık çalışmaları yapılmaktadır</w:t>
      </w:r>
    </w:p>
    <w:p w14:paraId="05B9E8FE"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İmzalanan sözleşmeler veri güvenliği hükümleri içermektedir</w:t>
      </w:r>
    </w:p>
    <w:p w14:paraId="482C0947"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 güvenliğinin takibi yapılmaktadır</w:t>
      </w:r>
    </w:p>
    <w:p w14:paraId="5C6CBAB0" w14:textId="77777777" w:rsidR="00A53445" w:rsidRDefault="00A53445" w:rsidP="00A53445">
      <w:pPr>
        <w:spacing w:beforeAutospacing="1" w:afterAutospacing="1"/>
        <w:ind w:left="720"/>
        <w:rPr>
          <w:rFonts w:eastAsia="Times New Roman"/>
        </w:rPr>
      </w:pPr>
      <w:r>
        <w:rPr>
          <w:rFonts w:eastAsia="Times New Roman"/>
        </w:rPr>
        <w:t xml:space="preserve">Tedbirleri uygulanmaktadır. </w:t>
      </w:r>
    </w:p>
    <w:p w14:paraId="5242E03B" w14:textId="77777777" w:rsidR="00A53445" w:rsidRDefault="00A53445" w:rsidP="00A53445">
      <w:pPr>
        <w:numPr>
          <w:ilvl w:val="0"/>
          <w:numId w:val="2"/>
        </w:numPr>
        <w:spacing w:before="100" w:beforeAutospacing="1" w:after="100" w:afterAutospacing="1"/>
        <w:rPr>
          <w:rFonts w:eastAsia="Times New Roman"/>
        </w:rPr>
      </w:pPr>
      <w:r>
        <w:rPr>
          <w:rFonts w:eastAsia="Times New Roman"/>
        </w:rPr>
        <w:t xml:space="preserve">Özel Nitelikli Kişisel Verilerin işlendiği, muhafaza edildiği ve/veya erişildiği ortamlar, fiziksel ve elektronik ortamlar için, </w:t>
      </w:r>
    </w:p>
    <w:p w14:paraId="6AA11FA8"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Ağ güvenliği ve uygulama güvenliği sağlanmaktadır</w:t>
      </w:r>
    </w:p>
    <w:p w14:paraId="42486345"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Bulutta depolanan kişisel verilerin güvenliği sağlanmaktadır</w:t>
      </w:r>
    </w:p>
    <w:p w14:paraId="6E1535D7"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Güncel anti-virüs sistemleri kullanılmaktadır</w:t>
      </w:r>
    </w:p>
    <w:p w14:paraId="3EBF68E6"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Güvenlik duvarları kullanılmaktadır</w:t>
      </w:r>
    </w:p>
    <w:p w14:paraId="502819B1"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Taşınabilir bellek, CD, DVD ortamında aktarılan özel nitelikli kişiler veriler şifrelenerek aktarılmaktadır</w:t>
      </w:r>
    </w:p>
    <w:p w14:paraId="2D6E88D9"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Erişim, bilgi güvenliği, kullanım, saklama ve imha konularında kurumsal politikalar hazırlanmış ve uygulamaya başlanmıştır</w:t>
      </w:r>
    </w:p>
    <w:p w14:paraId="0484B5BE"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Kişisel veriler yedeklenmekte ve yedeklenen kişisel verilerin güvenliği de sağlanmaktadır</w:t>
      </w:r>
    </w:p>
    <w:p w14:paraId="0E60AF36" w14:textId="77777777" w:rsidR="00A53445" w:rsidRDefault="00A53445" w:rsidP="00A53445">
      <w:pPr>
        <w:spacing w:beforeAutospacing="1" w:afterAutospacing="1"/>
        <w:ind w:left="720"/>
        <w:rPr>
          <w:rFonts w:eastAsia="Times New Roman"/>
        </w:rPr>
      </w:pPr>
      <w:r>
        <w:rPr>
          <w:rFonts w:eastAsia="Times New Roman"/>
        </w:rPr>
        <w:t xml:space="preserve">Tedbirleri uygulanmaktadır. </w:t>
      </w:r>
    </w:p>
    <w:p w14:paraId="2E2E7399" w14:textId="77777777" w:rsidR="00A53445" w:rsidRDefault="00A53445" w:rsidP="00A53445">
      <w:pPr>
        <w:numPr>
          <w:ilvl w:val="0"/>
          <w:numId w:val="2"/>
        </w:numPr>
        <w:spacing w:before="100" w:beforeAutospacing="1" w:after="100" w:afterAutospacing="1"/>
        <w:rPr>
          <w:rFonts w:eastAsia="Times New Roman"/>
        </w:rPr>
      </w:pPr>
      <w:r>
        <w:rPr>
          <w:rFonts w:eastAsia="Times New Roman"/>
        </w:rPr>
        <w:t xml:space="preserve">Özel Nitelikli Kişisel Veriler aktarılacaksa </w:t>
      </w:r>
    </w:p>
    <w:p w14:paraId="47158B46"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Bildirim</w:t>
      </w:r>
    </w:p>
    <w:p w14:paraId="208CDC57"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Paylaşım</w:t>
      </w:r>
    </w:p>
    <w:p w14:paraId="56EDBC43"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Data Medya</w:t>
      </w:r>
    </w:p>
    <w:p w14:paraId="795C3B31"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Beyanname</w:t>
      </w:r>
    </w:p>
    <w:p w14:paraId="6257B35F"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Veri Girişi</w:t>
      </w:r>
    </w:p>
    <w:p w14:paraId="598924FE" w14:textId="77777777" w:rsidR="00A53445" w:rsidRDefault="00A53445" w:rsidP="00A53445">
      <w:pPr>
        <w:numPr>
          <w:ilvl w:val="1"/>
          <w:numId w:val="2"/>
        </w:numPr>
        <w:spacing w:before="100" w:beforeAutospacing="1" w:after="100" w:afterAutospacing="1"/>
        <w:rPr>
          <w:rFonts w:eastAsia="Times New Roman"/>
        </w:rPr>
      </w:pPr>
      <w:r>
        <w:rPr>
          <w:rFonts w:eastAsia="Times New Roman"/>
        </w:rPr>
        <w:t>Yazılım Veri Girişi</w:t>
      </w:r>
    </w:p>
    <w:p w14:paraId="7D5D0A2C" w14:textId="77777777" w:rsidR="00A53445" w:rsidRDefault="00A53445" w:rsidP="00A53445">
      <w:pPr>
        <w:spacing w:beforeAutospacing="1" w:afterAutospacing="1"/>
        <w:ind w:left="720"/>
        <w:rPr>
          <w:rFonts w:eastAsia="Times New Roman"/>
        </w:rPr>
      </w:pPr>
      <w:r>
        <w:rPr>
          <w:rFonts w:eastAsia="Times New Roman"/>
        </w:rPr>
        <w:t xml:space="preserve">Aktarım yöntemleri kullanılmaktadır. </w:t>
      </w:r>
    </w:p>
    <w:p w14:paraId="755C3B62" w14:textId="77777777" w:rsidR="00A53445" w:rsidRDefault="00A53445" w:rsidP="00A53445">
      <w:pPr>
        <w:numPr>
          <w:ilvl w:val="0"/>
          <w:numId w:val="2"/>
        </w:numPr>
        <w:spacing w:before="100" w:beforeAutospacing="1" w:after="100" w:afterAutospacing="1"/>
        <w:rPr>
          <w:rFonts w:eastAsia="Times New Roman"/>
        </w:rPr>
      </w:pPr>
      <w:r>
        <w:rPr>
          <w:rFonts w:eastAsia="Times New Roman"/>
        </w:rPr>
        <w:t>Yukarıda belirtilen önlemlerin yanı sıra Kişisel Verileri Koruma Kurumunun internet sitesinde yayımlanan Kişisel Veri Güvenliği Rehberinde belirtilen uygun güvenlik düzeyini temin etmeye yönelik teknik ve idari tedbirler de dikkate alınmalıdır.</w:t>
      </w:r>
    </w:p>
    <w:p w14:paraId="6E5F131D" w14:textId="77777777" w:rsidR="00A53445" w:rsidRDefault="00A53445" w:rsidP="00A53445">
      <w:pPr>
        <w:pStyle w:val="Balk3"/>
        <w:rPr>
          <w:rFonts w:eastAsia="Times New Roman"/>
        </w:rPr>
      </w:pPr>
      <w:r>
        <w:rPr>
          <w:rFonts w:eastAsia="Times New Roman"/>
        </w:rPr>
        <w:t>4. ÖZEL NİTELİKLİ KİŞİSEL VERİLERİN AKTARILMASI</w:t>
      </w:r>
    </w:p>
    <w:p w14:paraId="506D2AC2" w14:textId="77777777" w:rsidR="00A53445" w:rsidRDefault="00A53445" w:rsidP="00A53445">
      <w:pPr>
        <w:pStyle w:val="NormalWeb"/>
        <w:jc w:val="both"/>
      </w:pPr>
      <w:r>
        <w:t xml:space="preserve">Veri Sorumlusu, hukuka uygun olarak elde etmiş olduğu Özel Nitelikli Kişisel Verileri, veri işleme amaçları doğrultusunda, gerekli güvenlik önlemlerini alarak, Veri Sahibi/İlgili </w:t>
      </w:r>
      <w:proofErr w:type="spellStart"/>
      <w:r>
        <w:t>Kişi’nin</w:t>
      </w:r>
      <w:proofErr w:type="spellEnd"/>
      <w:r>
        <w:t xml:space="preserve"> Özel Nitelikli Kişisel </w:t>
      </w:r>
      <w:proofErr w:type="spellStart"/>
      <w:r>
        <w:t>Verileri’ni</w:t>
      </w:r>
      <w:proofErr w:type="spellEnd"/>
      <w:r>
        <w:t xml:space="preserve"> üçüncü kişilere aktarabilmektedir. Bu doğrultuda, Veri Sorumlusu, </w:t>
      </w:r>
      <w:r>
        <w:lastRenderedPageBreak/>
        <w:t>Özel Nitelikli Kişisel Verileri, yukarıdaki bölümde belirtilen işleme şartlarından ve aşağıda belirtilen şartlardan birinin varlığı halinde üçüncü kişilere aktarabilecektir.</w:t>
      </w:r>
    </w:p>
    <w:p w14:paraId="070E2B9F"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açık rızası var ise,</w:t>
      </w:r>
    </w:p>
    <w:p w14:paraId="45AC2FC1"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 xml:space="preserve">Kanunlarda Özel Nitelikli Kişisel </w:t>
      </w:r>
      <w:proofErr w:type="spellStart"/>
      <w:r>
        <w:rPr>
          <w:rFonts w:eastAsia="Times New Roman"/>
        </w:rPr>
        <w:t>Veri’nin</w:t>
      </w:r>
      <w:proofErr w:type="spellEnd"/>
      <w:r>
        <w:rPr>
          <w:rFonts w:eastAsia="Times New Roman"/>
        </w:rPr>
        <w:t xml:space="preserve"> aktarılacağına ilişkin açık bir düzenleme var ise,</w:t>
      </w:r>
    </w:p>
    <w:p w14:paraId="79B0D368"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veya başkasının hayatı veya beden bütünlüğünün korunması için zorunlu ise ve Veri Sahibi/İlgili Kişi fiili imkânsızlık nedeniyle rızasını açıklayamayacak durumda ise veya rızasına hukuki geçerlilik tanınmıyorsa;</w:t>
      </w:r>
    </w:p>
    <w:p w14:paraId="0FAB23E3"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Bir sözleşmenin kurulması veya ifasıyla doğrudan doğruya ilgili olmak kaydıyla sözleşmenin taraflarına ait kişisel verinin aktarılması gerekli ise,</w:t>
      </w:r>
    </w:p>
    <w:p w14:paraId="338C6C8B"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Veri Sorumlusu, hukuki yükümlülüğünü yerine getirmesi için kişisel veri aktarımı zorunlu ise,</w:t>
      </w:r>
    </w:p>
    <w:p w14:paraId="2D2CE95D"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Özel Nitelikli Kişisel Veriler, Veri Sahibi/İlgili Kişi tarafından alenileştirilmiş ise,</w:t>
      </w:r>
    </w:p>
    <w:p w14:paraId="2F015899"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Özel Nitelikli Kişisel Veri aktarımı bir hakkın tesisi, kullanılması veya korunması için zorunlu ise,</w:t>
      </w:r>
    </w:p>
    <w:p w14:paraId="61B0A7D1" w14:textId="77777777" w:rsidR="00A53445" w:rsidRDefault="00A53445" w:rsidP="00A53445">
      <w:pPr>
        <w:numPr>
          <w:ilvl w:val="0"/>
          <w:numId w:val="3"/>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temel hak ve özgürlüklerine zarar vermemek kaydıyla, Veri Sorumlusu meşru menfaatleri için kişisel veri aktarımı zorunlu ise.</w:t>
      </w:r>
    </w:p>
    <w:p w14:paraId="5122ECA5" w14:textId="77777777" w:rsidR="00A53445" w:rsidRDefault="00A53445" w:rsidP="00A53445">
      <w:pPr>
        <w:pStyle w:val="Balk3"/>
        <w:rPr>
          <w:rFonts w:eastAsia="Times New Roman"/>
        </w:rPr>
      </w:pPr>
      <w:r>
        <w:rPr>
          <w:rFonts w:eastAsia="Times New Roman"/>
        </w:rPr>
        <w:t xml:space="preserve">5. ÖZEL NİTELİKLİ KİŞİSEL VERİLERİN YURTDIŞINA AKTARILMASI </w:t>
      </w:r>
    </w:p>
    <w:p w14:paraId="43DD491D" w14:textId="77777777" w:rsidR="00A53445" w:rsidRDefault="00A53445" w:rsidP="00A53445">
      <w:pPr>
        <w:pStyle w:val="NormalWeb"/>
        <w:jc w:val="both"/>
      </w:pPr>
      <w:r>
        <w:t xml:space="preserve">Veri Sorumlusu, gerekli özeni göstererek, gerekli güvenlik tedbirlerini ve Kurul tarafından öngörülen yeterli önlemleri alarak, meşru ve hukuka uygun Kişisel Veri işleme amaçları doğrultusunda, Veri Sahibi/İlgili </w:t>
      </w:r>
      <w:proofErr w:type="spellStart"/>
      <w:r>
        <w:t>Kişi’nin</w:t>
      </w:r>
      <w:proofErr w:type="spellEnd"/>
      <w:r>
        <w:t xml:space="preserve"> Özel Nitelikli Kişisel </w:t>
      </w:r>
      <w:proofErr w:type="spellStart"/>
      <w:r>
        <w:t>Veriler’ini</w:t>
      </w:r>
      <w:proofErr w:type="spellEnd"/>
      <w:r>
        <w:t xml:space="preserve"> aşağıdaki durumlarda yeterli korumaya sahip veya yeterli korumayı taahhüt eden veri sorumlusunun bulunduğu yabancı ülkelere aktarabilmektedir.</w:t>
      </w:r>
    </w:p>
    <w:p w14:paraId="1B4AA8D7" w14:textId="77777777" w:rsidR="00A53445" w:rsidRDefault="00A53445" w:rsidP="00A53445">
      <w:pPr>
        <w:numPr>
          <w:ilvl w:val="0"/>
          <w:numId w:val="4"/>
        </w:numPr>
        <w:spacing w:before="100" w:beforeAutospacing="1" w:after="100" w:afterAutospacing="1"/>
        <w:rPr>
          <w:rFonts w:eastAsia="Times New Roman"/>
        </w:rPr>
      </w:pPr>
      <w:r>
        <w:rPr>
          <w:rFonts w:eastAsia="Times New Roman"/>
        </w:rPr>
        <w:t>Kişisel veri sahibinin açık rızası var ise veya</w:t>
      </w:r>
    </w:p>
    <w:p w14:paraId="1A3C08A4" w14:textId="77777777" w:rsidR="00A53445" w:rsidRDefault="00A53445" w:rsidP="00A53445">
      <w:pPr>
        <w:numPr>
          <w:ilvl w:val="0"/>
          <w:numId w:val="4"/>
        </w:numPr>
        <w:spacing w:before="100" w:beforeAutospacing="1" w:after="100" w:afterAutospacing="1"/>
        <w:rPr>
          <w:rFonts w:eastAsia="Times New Roman"/>
        </w:rPr>
      </w:pPr>
      <w:r>
        <w:rPr>
          <w:rFonts w:eastAsia="Times New Roman"/>
        </w:rPr>
        <w:t xml:space="preserve">Kişisel veri sahibinin açık rızası yok ise; </w:t>
      </w:r>
    </w:p>
    <w:p w14:paraId="0C242877" w14:textId="77777777" w:rsidR="00A53445" w:rsidRDefault="00A53445" w:rsidP="00A53445">
      <w:pPr>
        <w:numPr>
          <w:ilvl w:val="1"/>
          <w:numId w:val="4"/>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Pr>
          <w:rFonts w:eastAsia="Times New Roman"/>
        </w:rPr>
        <w:t>biyometrik</w:t>
      </w:r>
      <w:proofErr w:type="spellEnd"/>
      <w:r>
        <w:rPr>
          <w:rFonts w:eastAsia="Times New Roman"/>
        </w:rPr>
        <w:t xml:space="preserve"> ve genetik verilerdir), kanunlarda öngörülen hallerde,</w:t>
      </w:r>
    </w:p>
    <w:p w14:paraId="62310923" w14:textId="77777777" w:rsidR="00A53445" w:rsidRDefault="00A53445" w:rsidP="00A53445">
      <w:pPr>
        <w:numPr>
          <w:ilvl w:val="1"/>
          <w:numId w:val="4"/>
        </w:numPr>
        <w:spacing w:before="100" w:beforeAutospacing="1" w:after="100" w:afterAutospacing="1"/>
        <w:rPr>
          <w:rFonts w:eastAsia="Times New Roman"/>
        </w:rPr>
      </w:pPr>
      <w:r>
        <w:rPr>
          <w:rFonts w:eastAsia="Times New Roman"/>
        </w:rPr>
        <w:t xml:space="preserve">Veri Sahibi/İlgili </w:t>
      </w:r>
      <w:proofErr w:type="spellStart"/>
      <w:r>
        <w:rPr>
          <w:rFonts w:eastAsia="Times New Roman"/>
        </w:rPr>
        <w:t>Kişi’nin</w:t>
      </w:r>
      <w:proofErr w:type="spellEnd"/>
      <w:r>
        <w:rPr>
          <w:rFonts w:eastAsia="Times New Roman"/>
        </w:rPr>
        <w:t xml:space="preserve">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14:paraId="0E386E7E" w14:textId="77777777" w:rsidR="00A53445" w:rsidRDefault="00A53445" w:rsidP="00A53445">
      <w:pPr>
        <w:pStyle w:val="NormalWeb"/>
      </w:pPr>
      <w:r>
        <w:t>Bu politika PROF. DR. ALİ ABDÜLKADİR BACAKOĞLU tarafından yürütülür.</w:t>
      </w:r>
    </w:p>
    <w:p w14:paraId="25F38508" w14:textId="77777777" w:rsidR="00A53445" w:rsidRDefault="00A53445" w:rsidP="00A53445">
      <w:pPr>
        <w:pStyle w:val="NormalWeb"/>
      </w:pPr>
      <w:r>
        <w:t xml:space="preserve">Saygılarımızla. </w:t>
      </w:r>
    </w:p>
    <w:p w14:paraId="0A4352A9" w14:textId="77777777" w:rsidR="00A53445" w:rsidRDefault="00A53445" w:rsidP="00A53445">
      <w:pPr>
        <w:pStyle w:val="NormalWeb"/>
      </w:pPr>
      <w:r>
        <w:t>PROF. DR. ALİ ABDÜLKADİR BACAKOĞLU</w:t>
      </w:r>
    </w:p>
    <w:p w14:paraId="6E8FE05C" w14:textId="77777777" w:rsidR="00A53445" w:rsidRDefault="00A53445"/>
    <w:sectPr w:rsidR="00A53445" w:rsidSect="00A53445">
      <w:pgSz w:w="11906" w:h="16838"/>
      <w:pgMar w:top="1417" w:right="1275" w:bottom="1417"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91C"/>
    <w:multiLevelType w:val="multilevel"/>
    <w:tmpl w:val="4D784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5792B"/>
    <w:multiLevelType w:val="multilevel"/>
    <w:tmpl w:val="765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437EA"/>
    <w:multiLevelType w:val="multilevel"/>
    <w:tmpl w:val="AA70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B327C"/>
    <w:multiLevelType w:val="multilevel"/>
    <w:tmpl w:val="078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45"/>
    <w:rsid w:val="00A53445"/>
    <w:rsid w:val="00EF6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0A303C6"/>
  <w15:chartTrackingRefBased/>
  <w15:docId w15:val="{8047DD4B-3960-3A4D-812C-3AF2BAE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45"/>
    <w:rPr>
      <w:rFonts w:ascii="Times New Roman" w:eastAsiaTheme="minorEastAsia" w:hAnsi="Times New Roman" w:cs="Times New Roman"/>
      <w:lang w:eastAsia="tr-TR"/>
    </w:rPr>
  </w:style>
  <w:style w:type="paragraph" w:styleId="Balk2">
    <w:name w:val="heading 2"/>
    <w:basedOn w:val="Normal"/>
    <w:link w:val="Balk2Char"/>
    <w:uiPriority w:val="9"/>
    <w:qFormat/>
    <w:rsid w:val="00A53445"/>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A5344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3445"/>
    <w:rPr>
      <w:rFonts w:ascii="Times New Roman" w:eastAsiaTheme="minorEastAsia" w:hAnsi="Times New Roman" w:cs="Times New Roman"/>
      <w:b/>
      <w:bCs/>
      <w:sz w:val="36"/>
      <w:szCs w:val="36"/>
      <w:lang w:eastAsia="tr-TR"/>
    </w:rPr>
  </w:style>
  <w:style w:type="character" w:customStyle="1" w:styleId="Balk3Char">
    <w:name w:val="Başlık 3 Char"/>
    <w:basedOn w:val="VarsaylanParagrafYazTipi"/>
    <w:link w:val="Balk3"/>
    <w:uiPriority w:val="9"/>
    <w:rsid w:val="00A53445"/>
    <w:rPr>
      <w:rFonts w:ascii="Times New Roman" w:eastAsiaTheme="minorEastAsia" w:hAnsi="Times New Roman" w:cs="Times New Roman"/>
      <w:b/>
      <w:bCs/>
      <w:sz w:val="27"/>
      <w:szCs w:val="27"/>
      <w:lang w:eastAsia="tr-TR"/>
    </w:rPr>
  </w:style>
  <w:style w:type="paragraph" w:styleId="NormalWeb">
    <w:name w:val="Normal (Web)"/>
    <w:basedOn w:val="Normal"/>
    <w:uiPriority w:val="99"/>
    <w:semiHidden/>
    <w:unhideWhenUsed/>
    <w:rsid w:val="00A53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Duygucan Yazıcı Yıldız</dc:creator>
  <cp:keywords/>
  <dc:description/>
  <cp:lastModifiedBy>Av. Duygucan Yazıcı Yıldız</cp:lastModifiedBy>
  <cp:revision>2</cp:revision>
  <dcterms:created xsi:type="dcterms:W3CDTF">2021-12-30T12:44:00Z</dcterms:created>
  <dcterms:modified xsi:type="dcterms:W3CDTF">2021-12-30T16:12:00Z</dcterms:modified>
</cp:coreProperties>
</file>